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media/image1.svg" ContentType="image/svg+xml"/>
  <Override PartName="/word/media/image2.svg" ContentType="image/svg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10006" w:type="dxa"/>
        <w:tblInd w:w="0" w:type="dxa"/>
        <w:tblBorders>
          <w:top w:val="single" w:color="7F7F7F" w:themeColor="text1" w:themeTint="7F" w:sz="4" w:space="0"/>
          <w:left w:val="single" w:color="7F7F7F" w:themeColor="text1" w:themeTint="7F" w:sz="4" w:space="0"/>
          <w:bottom w:val="single" w:color="7F7F7F" w:themeColor="text1" w:themeTint="7F" w:sz="4" w:space="0"/>
          <w:right w:val="single" w:color="7F7F7F" w:themeColor="text1" w:themeTint="7F" w:sz="4" w:space="0"/>
          <w:insideH w:val="single" w:color="7F7F7F" w:themeColor="text1" w:themeTint="7F" w:sz="4" w:space="0"/>
          <w:insideV w:val="single" w:color="7F7F7F" w:themeColor="text1" w:themeTint="7F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06"/>
      </w:tblGrid>
      <w:tr w14:paraId="6B958002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10006" w:type="dxa"/>
            <w:tcBorders>
              <w:tl2br w:val="nil"/>
              <w:tr2bl w:val="nil"/>
            </w:tcBorders>
            <w:vAlign w:val="center"/>
          </w:tcPr>
          <w:p w14:paraId="3A5142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b/>
                <w:bCs/>
                <w:sz w:val="32"/>
                <w:szCs w:val="32"/>
                <w:u w:val="none"/>
                <w:vertAlign w:val="baseline"/>
                <w:lang w:val="en-US" w:eastAsia="zh-CN"/>
              </w:rPr>
            </w:pPr>
            <w:commentRangeStart w:id="0"/>
            <w:r>
              <w:rPr>
                <w:rFonts w:hint="eastAsia" w:ascii="黑体" w:hAnsi="黑体" w:eastAsia="黑体" w:cs="黑体"/>
                <w:b/>
                <w:bCs/>
                <w:sz w:val="32"/>
                <w:szCs w:val="32"/>
                <w:u w:val="none"/>
                <w:vertAlign w:val="baseline"/>
                <w:lang w:val="en-US" w:eastAsia="zh-CN"/>
              </w:rPr>
              <w:t>伦理审查送审材料清单</w:t>
            </w:r>
            <w:commentRangeEnd w:id="0"/>
            <w:r>
              <w:commentReference w:id="0"/>
            </w:r>
          </w:p>
        </w:tc>
      </w:tr>
      <w:tr w14:paraId="4274DF8E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F1F1F1" w:themeFill="background1" w:themeFillShade="F2"/>
            <w:vAlign w:val="center"/>
          </w:tcPr>
          <w:p w14:paraId="70470C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val="en-US" w:eastAsia="zh-CN"/>
              </w:rPr>
              <w:t>修正案审查</w:t>
            </w:r>
          </w:p>
        </w:tc>
      </w:tr>
      <w:tr w14:paraId="25AB2BD1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006" w:type="dxa"/>
            <w:tcBorders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339A451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  <w:t>递交信</w:t>
            </w:r>
          </w:p>
        </w:tc>
      </w:tr>
      <w:tr w14:paraId="5EC25FED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006" w:type="dxa"/>
            <w:tcBorders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1CD9A1B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lang w:val="en-US" w:eastAsia="zh-CN"/>
              </w:rPr>
              <w:t>修正案审查申请表</w:t>
            </w:r>
          </w:p>
        </w:tc>
      </w:tr>
      <w:tr w14:paraId="681881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006" w:type="dxa"/>
            <w:tcBorders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22543C9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  <w:t>修订说明（原内容、修订内容、修订原因）</w:t>
            </w:r>
          </w:p>
        </w:tc>
      </w:tr>
      <w:tr w14:paraId="411DAC2F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006" w:type="dxa"/>
            <w:tcBorders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0371A73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lang w:val="en-US" w:eastAsia="zh-CN"/>
              </w:rPr>
              <w:t>修订材料终版（版本号、版本日期）</w:t>
            </w:r>
          </w:p>
        </w:tc>
      </w:tr>
      <w:tr w14:paraId="1EC0EE80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006" w:type="dxa"/>
            <w:tcBorders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762F63D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lang w:val="en-US" w:eastAsia="zh-CN"/>
              </w:rPr>
            </w:pPr>
            <w:commentRangeStart w:id="1"/>
            <w:r>
              <w:rPr>
                <w:rFonts w:hint="eastAsia" w:ascii="黑体" w:hAnsi="黑体" w:eastAsia="黑体" w:cs="黑体"/>
                <w:lang w:val="en-US" w:eastAsia="zh-CN"/>
              </w:rPr>
              <w:t>组长单位批件</w:t>
            </w:r>
            <w:commentRangeEnd w:id="1"/>
            <w:r>
              <w:commentReference w:id="1"/>
            </w:r>
          </w:p>
        </w:tc>
      </w:tr>
      <w:tr w14:paraId="537567ED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006" w:type="dxa"/>
            <w:tcBorders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2A9840D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eastAsia" w:ascii="黑体" w:hAnsi="黑体" w:eastAsia="黑体" w:cs="黑体"/>
                <w:lang w:val="en-US" w:eastAsia="zh-CN"/>
              </w:rPr>
            </w:pPr>
          </w:p>
        </w:tc>
      </w:tr>
      <w:tr w14:paraId="41E5F7F5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F1F1F1" w:themeFill="background1" w:themeFillShade="F2"/>
            <w:vAlign w:val="center"/>
          </w:tcPr>
          <w:p w14:paraId="4301D7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val="en-US" w:eastAsia="zh-CN"/>
              </w:rPr>
              <w:t>年度/定期审查</w:t>
            </w:r>
          </w:p>
        </w:tc>
      </w:tr>
      <w:tr w14:paraId="793FAB3D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006" w:type="dxa"/>
            <w:tcBorders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0BD7B99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  <w:t>递交信</w:t>
            </w:r>
          </w:p>
        </w:tc>
      </w:tr>
      <w:tr w14:paraId="0C742440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006" w:type="dxa"/>
            <w:tcBorders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69E76F3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  <w:t>年度/定期审查申请表</w:t>
            </w:r>
          </w:p>
        </w:tc>
      </w:tr>
      <w:tr w14:paraId="238E7CE1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006" w:type="dxa"/>
            <w:tcBorders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3D86A64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  <w:t>相关材料附件</w:t>
            </w:r>
          </w:p>
        </w:tc>
      </w:tr>
      <w:tr w14:paraId="7F2F3606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10006" w:type="dxa"/>
            <w:tcBorders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4B84698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</w:p>
        </w:tc>
      </w:tr>
      <w:tr w14:paraId="24A2E808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F1F1F1" w:themeFill="background1" w:themeFillShade="F2"/>
            <w:vAlign w:val="center"/>
          </w:tcPr>
          <w:p w14:paraId="7BFFC9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val="en-US" w:eastAsia="zh-CN"/>
              </w:rPr>
              <w:t>安全性审查</w:t>
            </w:r>
            <w:r>
              <w:rPr>
                <w:rFonts w:hint="eastAsia" w:ascii="黑体" w:hAnsi="黑体" w:eastAsia="黑体" w:cs="黑体"/>
                <w:b/>
                <w:bCs/>
                <w:color w:val="808080" w:themeColor="background1" w:themeShade="80"/>
                <w:sz w:val="21"/>
                <w:szCs w:val="21"/>
                <w:vertAlign w:val="baseline"/>
                <w:lang w:val="en-US" w:eastAsia="zh-CN"/>
              </w:rPr>
              <w:t>-</w:t>
            </w:r>
            <w:r>
              <w:rPr>
                <w:rFonts w:hint="eastAsia" w:ascii="黑体" w:hAnsi="黑体" w:eastAsia="黑体" w:cs="黑体"/>
                <w:color w:val="808080" w:themeColor="background1" w:themeShade="80"/>
                <w:sz w:val="21"/>
                <w:szCs w:val="21"/>
              </w:rPr>
              <w:t>严重不良事件（SAE）、可疑且非预期严重不良反应（SUSAR）、研发期间安全性更新报告（DSUR）或非预期事件（UP）</w:t>
            </w:r>
          </w:p>
        </w:tc>
      </w:tr>
      <w:tr w14:paraId="44470CF0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006" w:type="dxa"/>
            <w:tcBorders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60A02A9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  <w:t>递交信</w:t>
            </w:r>
          </w:p>
        </w:tc>
      </w:tr>
      <w:tr w14:paraId="658FABF8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006" w:type="dxa"/>
            <w:tcBorders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6D79C16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  <w:t>严重不良事件（SAE报告）：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本院发生的SAE</w:t>
            </w:r>
          </w:p>
          <w:p w14:paraId="2E94D42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420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commentRangeStart w:id="2"/>
            <w:r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  <w:t>SAE报告表</w:t>
            </w:r>
            <w:commentRangeEnd w:id="2"/>
            <w:r>
              <w:commentReference w:id="2"/>
            </w:r>
          </w:p>
        </w:tc>
      </w:tr>
      <w:tr w14:paraId="3D94DDA2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006" w:type="dxa"/>
            <w:tcBorders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2C4F58D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  <w:t>SUSAR、DSUR及其他安全性报告</w:t>
            </w:r>
          </w:p>
          <w:p w14:paraId="047B174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420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commentRangeStart w:id="3"/>
            <w:r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  <w:t>SUSAR报告表</w:t>
            </w:r>
            <w:commentRangeEnd w:id="3"/>
            <w:r>
              <w:commentReference w:id="3"/>
            </w:r>
            <w:r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  <w:t>或其他报告</w:t>
            </w:r>
          </w:p>
          <w:p w14:paraId="3F84B5C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420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  <w:t>安全性信息报告摘要表</w:t>
            </w:r>
          </w:p>
        </w:tc>
      </w:tr>
      <w:tr w14:paraId="2C1EB7CE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006" w:type="dxa"/>
            <w:tcBorders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5F2BE0B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本院安全性事件（SAE/SUSAR），涉及死亡事件的报告，提供尸检报告或最终医学报告</w:t>
            </w:r>
          </w:p>
        </w:tc>
      </w:tr>
      <w:tr w14:paraId="723BD5D0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006" w:type="dxa"/>
            <w:tcBorders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78B9BD32"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</w:tr>
      <w:tr w14:paraId="0B7C89B1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F1F1F1" w:themeFill="background1" w:themeFillShade="F2"/>
            <w:vAlign w:val="center"/>
          </w:tcPr>
          <w:p w14:paraId="2FCCBE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val="en-US" w:eastAsia="zh-CN"/>
              </w:rPr>
              <w:t>方案偏离/违背审查</w:t>
            </w:r>
          </w:p>
        </w:tc>
      </w:tr>
      <w:tr w14:paraId="5DB01472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006" w:type="dxa"/>
            <w:tcBorders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6F3BBEF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  <w:t>递交信</w:t>
            </w:r>
          </w:p>
        </w:tc>
      </w:tr>
      <w:tr w14:paraId="7770C673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006" w:type="dxa"/>
            <w:tcBorders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0D9A57B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lang w:val="en-US" w:eastAsia="zh-CN"/>
              </w:rPr>
              <w:t>方案偏离/违背报告表</w:t>
            </w:r>
          </w:p>
        </w:tc>
      </w:tr>
      <w:tr w14:paraId="0B0E4790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006" w:type="dxa"/>
            <w:tcBorders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4BB9C2F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lang w:val="en-US" w:eastAsia="zh-CN"/>
              </w:rPr>
            </w:pPr>
            <w:commentRangeStart w:id="4"/>
            <w:r>
              <w:rPr>
                <w:rFonts w:hint="eastAsia" w:ascii="黑体" w:hAnsi="黑体" w:eastAsia="黑体" w:cs="黑体"/>
                <w:lang w:eastAsia="zh-CN"/>
              </w:rPr>
              <w:t>培训资料</w:t>
            </w:r>
            <w:commentRangeEnd w:id="4"/>
            <w:r>
              <w:commentReference w:id="4"/>
            </w:r>
          </w:p>
        </w:tc>
      </w:tr>
      <w:tr w14:paraId="634F382B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006" w:type="dxa"/>
            <w:tcBorders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62266C1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i/>
                <w:iCs/>
                <w:color w:val="808080" w:themeColor="text1" w:themeTint="8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  <w14:textFill>
                  <w14:solidFill>
                    <w14:schemeClr w14:val="tx1">
                      <w14:lumMod w14:val="50000"/>
                      <w14:lumOff w14:val="50000"/>
                    </w14:schemeClr>
                  </w14:solidFill>
                </w14:textFill>
              </w:rPr>
            </w:pPr>
          </w:p>
        </w:tc>
      </w:tr>
      <w:tr w14:paraId="08A7C9CB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F1F1F1" w:themeFill="background1" w:themeFillShade="F2"/>
            <w:vAlign w:val="center"/>
          </w:tcPr>
          <w:p w14:paraId="4ECD98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val="en-US" w:eastAsia="zh-CN"/>
              </w:rPr>
              <w:t>暂停/终止研究审查</w:t>
            </w:r>
          </w:p>
        </w:tc>
      </w:tr>
      <w:tr w14:paraId="39B8DC9C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006" w:type="dxa"/>
            <w:tcBorders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6F03F1B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  <w:t>递交信</w:t>
            </w:r>
          </w:p>
        </w:tc>
      </w:tr>
      <w:tr w14:paraId="1437C8B4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006" w:type="dxa"/>
            <w:tcBorders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322E250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lang w:val="en-US" w:eastAsia="zh-CN"/>
              </w:rPr>
              <w:t>暂停/终止研究报告表</w:t>
            </w:r>
          </w:p>
        </w:tc>
      </w:tr>
      <w:tr w14:paraId="27F77E48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006" w:type="dxa"/>
            <w:tcBorders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003B4D9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lang w:val="en-US" w:eastAsia="zh-CN"/>
              </w:rPr>
              <w:t>小结报告（如有）</w:t>
            </w:r>
          </w:p>
        </w:tc>
      </w:tr>
      <w:tr w14:paraId="6A078357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006" w:type="dxa"/>
            <w:tcBorders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51D70E2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</w:p>
        </w:tc>
      </w:tr>
      <w:tr w14:paraId="18A74FA6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F1F1F1" w:themeFill="background1" w:themeFillShade="F2"/>
            <w:vAlign w:val="center"/>
          </w:tcPr>
          <w:p w14:paraId="576B43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val="en-US" w:eastAsia="zh-CN"/>
              </w:rPr>
              <w:t>暂停后重新启动研究审查</w:t>
            </w:r>
          </w:p>
        </w:tc>
      </w:tr>
      <w:tr w14:paraId="40607B1D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006" w:type="dxa"/>
            <w:tcBorders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1B52416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  <w:t>递交信</w:t>
            </w:r>
          </w:p>
        </w:tc>
      </w:tr>
      <w:tr w14:paraId="63EABEFF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006" w:type="dxa"/>
            <w:tcBorders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295083E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lang w:val="en-US" w:eastAsia="zh-CN"/>
              </w:rPr>
              <w:t>暂停后重新启动审查申请表</w:t>
            </w:r>
          </w:p>
        </w:tc>
      </w:tr>
      <w:tr w14:paraId="720B5BD2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006" w:type="dxa"/>
            <w:tcBorders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4528E49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</w:p>
        </w:tc>
      </w:tr>
      <w:tr w14:paraId="3DA1F77E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F1F1F1" w:themeFill="background1" w:themeFillShade="F2"/>
            <w:vAlign w:val="center"/>
          </w:tcPr>
          <w:p w14:paraId="47C9EC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val="en-US" w:eastAsia="zh-CN"/>
              </w:rPr>
              <w:t>研究完成审查</w:t>
            </w:r>
          </w:p>
        </w:tc>
      </w:tr>
      <w:tr w14:paraId="280F0689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006" w:type="dxa"/>
            <w:tcBorders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57C49E6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  <w:t>递交信</w:t>
            </w:r>
          </w:p>
        </w:tc>
      </w:tr>
      <w:tr w14:paraId="29667FDA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006" w:type="dxa"/>
            <w:tcBorders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2C70F82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lang w:val="en-US" w:eastAsia="zh-CN"/>
              </w:rPr>
              <w:t>研究完成报告表</w:t>
            </w:r>
          </w:p>
        </w:tc>
      </w:tr>
      <w:tr w14:paraId="263745A1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006" w:type="dxa"/>
            <w:tcBorders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62200BB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lang w:val="en-US" w:eastAsia="zh-CN"/>
              </w:rPr>
              <w:t>分中心小结、总结报告（如有）</w:t>
            </w:r>
          </w:p>
        </w:tc>
      </w:tr>
      <w:tr w14:paraId="7F6733C9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006" w:type="dxa"/>
            <w:tcBorders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7F01C62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lang w:val="en-US" w:eastAsia="zh-CN"/>
              </w:rPr>
              <w:t>机构质控报告</w:t>
            </w:r>
          </w:p>
        </w:tc>
      </w:tr>
      <w:tr w14:paraId="064C2E55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006" w:type="dxa"/>
            <w:tcBorders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3446B57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</w:p>
        </w:tc>
      </w:tr>
      <w:tr w14:paraId="34D9541C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F1F1F1" w:themeFill="background1" w:themeFillShade="F2"/>
            <w:vAlign w:val="center"/>
          </w:tcPr>
          <w:p w14:paraId="7489F4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val="en-US" w:eastAsia="zh-CN"/>
              </w:rPr>
              <w:t>复审（</w:t>
            </w:r>
            <w:r>
              <w:rPr>
                <w:rFonts w:hint="eastAsia" w:ascii="黑体" w:hAnsi="黑体" w:eastAsia="黑体" w:cs="黑体"/>
                <w:lang w:val="en-US" w:eastAsia="zh-CN"/>
              </w:rPr>
              <w:t>收到“补充/修改送审材料通知”或审查意见为“修改后再审”或“修改后批准”）</w:t>
            </w:r>
          </w:p>
        </w:tc>
      </w:tr>
      <w:tr w14:paraId="3F0595FC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006" w:type="dxa"/>
            <w:tcBorders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42906E1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  <w:t>递交信</w:t>
            </w:r>
          </w:p>
        </w:tc>
      </w:tr>
      <w:tr w14:paraId="54956BC3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006" w:type="dxa"/>
            <w:tcBorders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0333A01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  <w:t>复审申请表</w:t>
            </w:r>
          </w:p>
        </w:tc>
      </w:tr>
      <w:tr w14:paraId="4D608BAB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006" w:type="dxa"/>
            <w:shd w:val="clear" w:color="auto" w:fill="auto"/>
            <w:vAlign w:val="center"/>
          </w:tcPr>
          <w:p w14:paraId="6A8C21A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  <w:t>相关文件附件（修改说明、修订终版；或不予修改原因）</w:t>
            </w:r>
          </w:p>
        </w:tc>
      </w:tr>
      <w:tr w14:paraId="1D212ADA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0006" w:type="dxa"/>
            <w:shd w:val="clear" w:color="auto" w:fill="auto"/>
            <w:vAlign w:val="center"/>
          </w:tcPr>
          <w:p w14:paraId="384647E5"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bookmarkStart w:id="0" w:name="_GoBack"/>
            <w:bookmarkEnd w:id="0"/>
          </w:p>
        </w:tc>
      </w:tr>
      <w:tr w14:paraId="3FBA088B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2C8CB4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eastAsia="黑体" w:cs="Times New Roman"/>
                <w:b/>
                <w:bCs/>
                <w:i/>
                <w:iCs/>
                <w:sz w:val="20"/>
                <w:szCs w:val="20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i/>
                <w:iCs/>
                <w:sz w:val="20"/>
                <w:szCs w:val="20"/>
                <w:u w:val="none"/>
                <w:vertAlign w:val="baseline"/>
                <w:lang w:val="en-US" w:eastAsia="zh-CN"/>
              </w:rPr>
              <w:t>备注：</w:t>
            </w:r>
          </w:p>
          <w:p w14:paraId="2D6CA78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eastAsia="黑体" w:cs="Times New Roman"/>
                <w:b w:val="0"/>
                <w:bCs w:val="0"/>
                <w:i/>
                <w:iCs/>
                <w:sz w:val="20"/>
                <w:szCs w:val="20"/>
                <w:u w:val="none"/>
                <w:vertAlign w:val="baseline"/>
                <w:lang w:val="en-US" w:eastAsia="zh-CN"/>
              </w:rPr>
            </w:pPr>
            <w:r>
              <w:rPr>
                <w:rFonts w:hint="eastAsia" w:eastAsia="黑体" w:cs="Times New Roman"/>
                <w:b w:val="0"/>
                <w:bCs w:val="0"/>
                <w:i/>
                <w:iCs/>
                <w:sz w:val="20"/>
                <w:szCs w:val="20"/>
                <w:u w:val="none"/>
                <w:vertAlign w:val="baseline"/>
                <w:lang w:val="en-US" w:eastAsia="zh-CN"/>
              </w:rPr>
              <w:t>送审文件要求参照《伦理审查送审指南》</w:t>
            </w:r>
          </w:p>
          <w:p w14:paraId="01548F5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eastAsia="黑体" w:cs="Times New Roman"/>
                <w:b w:val="0"/>
                <w:bCs w:val="0"/>
                <w:i/>
                <w:iCs/>
                <w:sz w:val="20"/>
                <w:szCs w:val="20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i/>
                <w:iCs/>
                <w:sz w:val="20"/>
                <w:szCs w:val="20"/>
                <w:u w:val="none"/>
                <w:vertAlign w:val="baseline"/>
                <w:lang w:val="en-US" w:eastAsia="zh-CN"/>
              </w:rPr>
              <w:t>如有疑问可电话咨询025-83086021</w:t>
            </w:r>
            <w:r>
              <w:rPr>
                <w:rFonts w:hint="eastAsia" w:eastAsia="黑体" w:cs="Times New Roman"/>
                <w:b w:val="0"/>
                <w:bCs w:val="0"/>
                <w:i/>
                <w:iCs/>
                <w:sz w:val="20"/>
                <w:szCs w:val="20"/>
                <w:u w:val="none"/>
                <w:vertAlign w:val="baseline"/>
                <w:lang w:val="en-US" w:eastAsia="zh-CN"/>
              </w:rPr>
              <w:t>，接待咨询/受理纸质材料时间：09:00-11:30,13:30-16:00</w:t>
            </w:r>
          </w:p>
        </w:tc>
      </w:tr>
    </w:tbl>
    <w:p w14:paraId="230330DC"/>
    <w:sectPr>
      <w:headerReference r:id="rId5" w:type="default"/>
      <w:footerReference r:id="rId6" w:type="default"/>
      <w:pgSz w:w="11906" w:h="16838"/>
      <w:pgMar w:top="1440" w:right="1080" w:bottom="1440" w:left="1080" w:header="851" w:footer="992" w:gutter="0"/>
      <w:pgNumType w:fmt="decimal"/>
      <w:cols w:space="425" w:num="1"/>
      <w:docGrid w:type="lines" w:linePitch="312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ZNL" w:date="2026-09-21T13:22:17Z" w:initials="">
    <w:p w14:paraId="7D762303">
      <w:pPr>
        <w:pStyle w:val="2"/>
      </w:pPr>
      <w:r>
        <w:rPr>
          <w:rFonts w:hint="eastAsia" w:ascii="黑体" w:hAnsi="黑体" w:eastAsia="黑体" w:cs="黑体"/>
        </w:rPr>
        <w:t>递交前请将所有批注删除，以清洁版形式递交</w:t>
      </w:r>
    </w:p>
  </w:comment>
  <w:comment w:id="1" w:author="ZNL" w:date="2026-09-21T13:22:29Z" w:initials="">
    <w:p w14:paraId="6E1B583B">
      <w:pPr>
        <w:pStyle w:val="2"/>
        <w:rPr>
          <w:color w:val="auto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21"/>
          <w:szCs w:val="21"/>
          <w:u w:val="none"/>
          <w:vertAlign w:val="baseline"/>
          <w:lang w:val="en-US" w:eastAsia="zh-CN"/>
        </w:rPr>
        <w:t>如我院为组长单位，不适用；如为双组长单位，可只提供一家组长单位的伦理批件</w:t>
      </w:r>
    </w:p>
  </w:comment>
  <w:comment w:id="2" w:author="ZNL" w:date="2026-09-21T13:27:04Z" w:initials="">
    <w:p w14:paraId="1572B153">
      <w:pPr>
        <w:pStyle w:val="2"/>
      </w:pPr>
      <w:r>
        <w:rPr>
          <w:rFonts w:hint="eastAsia" w:ascii="黑体" w:hAnsi="黑体" w:eastAsia="黑体" w:cs="黑体"/>
          <w:lang w:val="en-US" w:eastAsia="zh-CN"/>
        </w:rPr>
        <w:t>可使用申办者的报告模版</w:t>
      </w:r>
    </w:p>
  </w:comment>
  <w:comment w:id="3" w:author="ZNL" w:date="2026-09-21T13:27:57Z" w:initials="">
    <w:p w14:paraId="7DAE49EB">
      <w:pPr>
        <w:pStyle w:val="2"/>
      </w:pPr>
      <w:r>
        <w:rPr>
          <w:rFonts w:hint="eastAsia" w:ascii="黑体" w:hAnsi="黑体" w:eastAsia="黑体" w:cs="黑体"/>
          <w:lang w:val="en-US" w:eastAsia="zh-CN"/>
        </w:rPr>
        <w:t>可使用申办者的报告模版</w:t>
      </w:r>
    </w:p>
  </w:comment>
  <w:comment w:id="4" w:author="ZNL" w:date="2026-09-21T13:39:30Z" w:initials="">
    <w:p w14:paraId="5461F278">
      <w:pPr>
        <w:pStyle w:val="2"/>
        <w:rPr>
          <w:rFonts w:hint="default"/>
          <w:lang w:val="en-US"/>
        </w:rPr>
      </w:pPr>
      <w:r>
        <w:rPr>
          <w:rFonts w:hint="eastAsia" w:ascii="黑体" w:hAnsi="黑体" w:eastAsia="黑体" w:cs="黑体"/>
          <w:lang w:eastAsia="zh-CN"/>
        </w:rPr>
        <w:t>如</w:t>
      </w:r>
      <w:r>
        <w:rPr>
          <w:rFonts w:hint="eastAsia" w:ascii="黑体" w:hAnsi="黑体" w:eastAsia="黑体" w:cs="黑体"/>
          <w:lang w:val="en-US" w:eastAsia="zh-CN"/>
        </w:rPr>
        <w:t>方案偏离/违背与研究人员有关时提供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7D762303" w15:done="0"/>
  <w15:commentEx w15:paraId="6E1B583B" w15:done="0"/>
  <w15:commentEx w15:paraId="1572B153" w15:done="0"/>
  <w15:commentEx w15:paraId="7DAE49EB" w15:done="0"/>
  <w15:commentEx w15:paraId="5461F278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97074E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8EAF7C">
    <w:pPr>
      <w:pStyle w:val="4"/>
      <w:pBdr>
        <w:bottom w:val="double" w:color="auto" w:sz="8" w:space="1"/>
      </w:pBdr>
      <w:tabs>
        <w:tab w:val="left" w:pos="7980"/>
        <w:tab w:val="clear" w:pos="4153"/>
        <w:tab w:val="clear" w:pos="8306"/>
      </w:tabs>
      <w:ind w:right="19" w:rightChars="9"/>
      <w:jc w:val="both"/>
      <w:rPr>
        <w:rFonts w:hint="eastAsia"/>
      </w:rPr>
    </w:pPr>
    <w:r>
      <w:rPr>
        <w:rFonts w:hint="eastAsia" w:ascii="黑体" w:hAnsi="黑体" w:eastAsia="黑体" w:cs="黑体"/>
        <w:b w:val="0"/>
        <w:bCs w:val="0"/>
        <w:sz w:val="18"/>
        <w:szCs w:val="18"/>
        <w:lang w:val="en-US" w:eastAsia="zh-CN"/>
      </w:rPr>
      <w:t>南京天印山医院医学伦理审查委员会                                                          EC-V-AF-08-202601</w:t>
    </w:r>
  </w:p>
  <w:p w14:paraId="3D7940D9">
    <w:pPr>
      <w:pStyle w:val="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numPicBullet w:numPicBulletId="0">
    <w:pict>
      <v:shape id="0" type="#_x0000_t75" style="width:64px;height:64px" o:bullet="t">
        <v:imagedata r:id="rId1" o:title=""/>
      </v:shape>
    </w:pict>
  </w:numPicBullet>
  <w:numPicBullet w:numPicBulletId="1">
    <w:pict>
      <v:shape id="1" type="#_x0000_t75" style="width:64px;height:64px" o:bullet="t">
        <v:imagedata r:id="rId2" o:title=""/>
      </v:shape>
    </w:pict>
  </w:numPicBullet>
  <w:abstractNum w:abstractNumId="0">
    <w:nsid w:val="96FE5D31"/>
    <w:multiLevelType w:val="singleLevel"/>
    <w:tmpl w:val="96FE5D31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D244A019"/>
    <w:multiLevelType w:val="singleLevel"/>
    <w:tmpl w:val="D244A019"/>
    <w:lvl w:ilvl="0" w:tentative="0">
      <w:start w:val="1"/>
      <w:numFmt w:val="bullet"/>
      <w:lvlText w:val=""/>
      <w:lvlPicBulletId w:val="1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2">
    <w:nsid w:val="02C149AB"/>
    <w:multiLevelType w:val="singleLevel"/>
    <w:tmpl w:val="02C149AB"/>
    <w:lvl w:ilvl="0" w:tentative="0">
      <w:start w:val="1"/>
      <w:numFmt w:val="decimal"/>
      <w:suff w:val="nothing"/>
      <w:lvlText w:val="%1、"/>
      <w:lvlJc w:val="left"/>
      <w:rPr>
        <w:rFonts w:hint="default"/>
        <w:color w:val="auto"/>
      </w:rPr>
    </w:lvl>
  </w:abstractNum>
  <w:abstractNum w:abstractNumId="3">
    <w:nsid w:val="0D1F37F2"/>
    <w:multiLevelType w:val="singleLevel"/>
    <w:tmpl w:val="0D1F37F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4">
    <w:nsid w:val="3586C93E"/>
    <w:multiLevelType w:val="singleLevel"/>
    <w:tmpl w:val="3586C93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5">
    <w:nsid w:val="3C949B5C"/>
    <w:multiLevelType w:val="singleLevel"/>
    <w:tmpl w:val="3C949B5C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6">
    <w:nsid w:val="4414837C"/>
    <w:multiLevelType w:val="singleLevel"/>
    <w:tmpl w:val="4414837C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7">
    <w:nsid w:val="49515169"/>
    <w:multiLevelType w:val="singleLevel"/>
    <w:tmpl w:val="4951516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8">
    <w:nsid w:val="4C0E4F7F"/>
    <w:multiLevelType w:val="singleLevel"/>
    <w:tmpl w:val="4C0E4F7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9">
    <w:nsid w:val="568B0150"/>
    <w:multiLevelType w:val="singleLevel"/>
    <w:tmpl w:val="568B0150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0">
    <w:nsid w:val="73AEBC55"/>
    <w:multiLevelType w:val="singleLevel"/>
    <w:tmpl w:val="73AEBC55"/>
    <w:lvl w:ilvl="0" w:tentative="0">
      <w:start w:val="1"/>
      <w:numFmt w:val="bullet"/>
      <w:lvlText w:val=""/>
      <w:lvlPicBulletId w:val="0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10"/>
  </w:num>
  <w:num w:numId="5">
    <w:abstractNumId w:val="1"/>
  </w:num>
  <w:num w:numId="6">
    <w:abstractNumId w:val="7"/>
  </w:num>
  <w:num w:numId="7">
    <w:abstractNumId w:val="4"/>
  </w:num>
  <w:num w:numId="8">
    <w:abstractNumId w:val="6"/>
  </w:num>
  <w:num w:numId="9">
    <w:abstractNumId w:val="0"/>
  </w:num>
  <w:num w:numId="10">
    <w:abstractNumId w:val="9"/>
  </w:num>
  <w:num w:numId="11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ZNL">
    <w15:presenceInfo w15:providerId="WPS Office" w15:userId="550152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DA259D"/>
    <w:rsid w:val="0002162C"/>
    <w:rsid w:val="0C471855"/>
    <w:rsid w:val="0DD234C8"/>
    <w:rsid w:val="16C61EFA"/>
    <w:rsid w:val="1A9F2151"/>
    <w:rsid w:val="1CD90992"/>
    <w:rsid w:val="23A40448"/>
    <w:rsid w:val="2B682175"/>
    <w:rsid w:val="2E2E0DD2"/>
    <w:rsid w:val="410A4273"/>
    <w:rsid w:val="4F6B48BE"/>
    <w:rsid w:val="4F8F2551"/>
    <w:rsid w:val="578B18D4"/>
    <w:rsid w:val="61DD39E0"/>
    <w:rsid w:val="622C7102"/>
    <w:rsid w:val="64CE7FBE"/>
    <w:rsid w:val="65574D04"/>
    <w:rsid w:val="68BD36DE"/>
    <w:rsid w:val="774F6969"/>
    <w:rsid w:val="77954AC0"/>
    <w:rsid w:val="77DA259D"/>
    <w:rsid w:val="7F964DBB"/>
    <w:rsid w:val="7FB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toc 1"/>
    <w:basedOn w:val="1"/>
    <w:next w:val="1"/>
    <w:qFormat/>
    <w:uiPriority w:val="0"/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0" Type="http://schemas.microsoft.com/office/2011/relationships/people" Target="people.xml"/><Relationship Id="rId1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sv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116</Words>
  <Characters>151</Characters>
  <Lines>0</Lines>
  <Paragraphs>0</Paragraphs>
  <TotalTime>1</TotalTime>
  <ScaleCrop>false</ScaleCrop>
  <LinksUpToDate>false</LinksUpToDate>
  <CharactersWithSpaces>159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2025-06-23T02:42:00Z</dcterms:created>
  <dc:creator>ZNL</dc:creator>
  <cp:lastModifiedBy>ZNL</cp:lastModifiedBy>
  <dcterms:modified xsi:type="dcterms:W3CDTF">2026-09-21T05:40:18Z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30A913D2912B40CB9CF2975DD3AF5520_13</vt:lpwstr>
  </property>
  <property fmtid="{D5CDD505-2E9C-101B-9397-08002B2CF9AE}" pid="4" name="KSOTemplateDocerSaveRecord">
    <vt:lpwstr>eyJoZGlkIjoiMjljOThlNzRlZGFjNjM0YzFkZThkN2NhMDdjM2Q0NTQiLCJ1c2VySWQiOiIyNzU3MzIyNTMifQ==</vt:lpwstr>
  </property>
</Properties>
</file>