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F4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44"/>
          <w:szCs w:val="44"/>
        </w:rPr>
      </w:pPr>
      <w:r>
        <w:rPr>
          <w:rFonts w:hint="default" w:ascii="Times New Roman" w:hAnsi="Times New Roman" w:cs="Times New Roman" w:eastAsiaTheme="minorEastAsia"/>
          <w:b/>
          <w:bCs/>
          <w:sz w:val="44"/>
          <w:szCs w:val="44"/>
        </w:rPr>
        <w:t>伦理送审</w:t>
      </w:r>
      <w:r>
        <w:rPr>
          <w:rFonts w:hint="default" w:ascii="Times New Roman" w:hAnsi="Times New Roman" w:cs="Times New Roman" w:eastAsiaTheme="minorEastAsia"/>
          <w:b/>
          <w:bCs/>
          <w:sz w:val="44"/>
          <w:szCs w:val="44"/>
          <w:lang w:val="en-US" w:eastAsia="zh-CN"/>
        </w:rPr>
        <w:t>材料</w:t>
      </w:r>
      <w:r>
        <w:rPr>
          <w:rFonts w:hint="default" w:ascii="Times New Roman" w:hAnsi="Times New Roman" w:cs="Times New Roman" w:eastAsiaTheme="minorEastAsia"/>
          <w:b/>
          <w:bCs/>
          <w:sz w:val="44"/>
          <w:szCs w:val="44"/>
        </w:rPr>
        <w:t>装订要求</w:t>
      </w:r>
    </w:p>
    <w:p w14:paraId="79B7E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6898C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>一、初始审查</w:t>
      </w:r>
    </w:p>
    <w:p w14:paraId="1F9AB5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根据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“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伦理审查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送审材料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清单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”（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以下简称“清单”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进行准备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7B8DB9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按照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“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清单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”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编号的顺序整理，不同文件之间用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隔页纸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隔开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；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如该项文件缺少，则该隔页纸处留空；</w:t>
      </w:r>
    </w:p>
    <w:p w14:paraId="28F714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送审材料首页须附目录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；</w:t>
      </w:r>
    </w:p>
    <w:p w14:paraId="565708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上述所有材料正反打印；CRF每页2版/正反打印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，可接受递交光盘（首页打印盖章）；</w:t>
      </w:r>
    </w:p>
    <w:p w14:paraId="0677C1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盖章位置为材料首页及骑缝章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；</w:t>
      </w:r>
    </w:p>
    <w:p w14:paraId="1414E7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委托函需盖申办单位公章，其他文件可盖被委托单位公章；</w:t>
      </w:r>
    </w:p>
    <w:p w14:paraId="1407B7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上述文件使用黑色2孔快劳夹装订送审，送审材料准备1套。</w:t>
      </w:r>
    </w:p>
    <w:p w14:paraId="1DF32CF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>跟踪审查</w:t>
      </w:r>
    </w:p>
    <w:p w14:paraId="6503461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跟踪审查须在官网下载相应的申请表/报告表，填写、签字，和递交信、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递交材料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，用11孔文件袋装好送至伦理办；如文件较厚，则使用快劳夹，要求同初始审查</w:t>
      </w:r>
    </w:p>
    <w:p w14:paraId="73D06DA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如有CRF更新，递交时只需递交光盘（首页打印盖章）</w:t>
      </w:r>
    </w:p>
    <w:p w14:paraId="13089D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三、材料要求</w:t>
      </w:r>
    </w:p>
    <w:p w14:paraId="756313D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黑色2孔文件夹（25mm/55mm/75mm/……），尺寸/款式如图所示，根据送审文件厚度选择合适的文件夹装订。不做侧标签。</w:t>
      </w:r>
      <w:bookmarkStart w:id="0" w:name="_GoBack"/>
      <w:bookmarkEnd w:id="0"/>
    </w:p>
    <w:p w14:paraId="492624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</w:rPr>
      </w:pPr>
      <w:r>
        <w:drawing>
          <wp:inline distT="0" distB="0" distL="114300" distR="114300">
            <wp:extent cx="1722755" cy="2160270"/>
            <wp:effectExtent l="9525" t="9525" r="20320" b="209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21602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49450" cy="2160270"/>
            <wp:effectExtent l="9525" t="9525" r="22225" b="209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2160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3445" cy="2160270"/>
            <wp:effectExtent l="9525" t="9525" r="17780" b="209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rcRect r="4190"/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2160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B5CD7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隔页纸须有数字，颜色不限</w:t>
      </w:r>
    </w:p>
    <w:p w14:paraId="2ABD32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drawing>
          <wp:inline distT="0" distB="0" distL="114300" distR="114300">
            <wp:extent cx="2718435" cy="2012315"/>
            <wp:effectExtent l="9525" t="9525" r="1524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843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7FE1A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11孔文件袋</w:t>
      </w:r>
    </w:p>
    <w:p w14:paraId="7E443C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drawing>
          <wp:inline distT="0" distB="0" distL="114300" distR="114300">
            <wp:extent cx="2334895" cy="2349500"/>
            <wp:effectExtent l="0" t="0" r="825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B501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上述所有材料仅为示意图，不限品牌</w:t>
      </w:r>
    </w:p>
    <w:p w14:paraId="75C7B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4B794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 w:eastAsiaTheme="minorEastAsia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i/>
          <w:iCs/>
          <w:sz w:val="24"/>
          <w:szCs w:val="24"/>
          <w:lang w:val="en-US" w:eastAsia="zh-CN"/>
        </w:rPr>
        <w:t>备注：</w:t>
      </w:r>
      <w:r>
        <w:rPr>
          <w:rFonts w:hint="default" w:ascii="Times New Roman" w:hAnsi="Times New Roman" w:cs="Times New Roman" w:eastAsiaTheme="minorEastAsia"/>
          <w:i/>
          <w:iCs/>
          <w:sz w:val="24"/>
          <w:szCs w:val="24"/>
          <w:lang w:val="en-US" w:eastAsia="zh-CN"/>
        </w:rPr>
        <w:t>1、涉及文件在官网“下载中心”下载</w:t>
      </w:r>
    </w:p>
    <w:p w14:paraId="3BACC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     2、不符合装订要求的材料不予受理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6E6BC">
    <w:pPr>
      <w:pStyle w:val="3"/>
      <w:pBdr>
        <w:bottom w:val="double" w:color="auto" w:sz="8" w:space="1"/>
      </w:pBdr>
      <w:rPr>
        <w:rFonts w:hint="eastAsia" w:ascii="黑体" w:hAnsi="黑体" w:eastAsia="黑体" w:cs="黑体"/>
        <w:lang w:val="en-US" w:eastAsia="zh-CN"/>
      </w:rPr>
    </w:pPr>
    <w:r>
      <w:rPr>
        <w:rFonts w:hint="eastAsia" w:ascii="黑体" w:hAnsi="黑体" w:eastAsia="黑体" w:cs="黑体"/>
        <w:lang w:val="en-US" w:eastAsia="zh-CN"/>
      </w:rPr>
      <w:t>南京天印山医院医学伦理委员会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424A0A"/>
    <w:multiLevelType w:val="singleLevel"/>
    <w:tmpl w:val="C8424A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BF4DB4C"/>
    <w:multiLevelType w:val="singleLevel"/>
    <w:tmpl w:val="CBF4DB4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6EC8510"/>
    <w:multiLevelType w:val="singleLevel"/>
    <w:tmpl w:val="E6EC85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1B80684"/>
    <w:multiLevelType w:val="singleLevel"/>
    <w:tmpl w:val="11B8068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E541A"/>
    <w:rsid w:val="111445D2"/>
    <w:rsid w:val="28904538"/>
    <w:rsid w:val="358B6F41"/>
    <w:rsid w:val="4A164ED1"/>
    <w:rsid w:val="77C2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539</Characters>
  <Lines>0</Lines>
  <Paragraphs>0</Paragraphs>
  <TotalTime>1</TotalTime>
  <ScaleCrop>false</ScaleCrop>
  <LinksUpToDate>false</LinksUpToDate>
  <CharactersWithSpaces>545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2025-06-26T05:35:00Z</dcterms:created>
  <dc:creator>Administrator</dc:creator>
  <cp:lastModifiedBy>ZNL</cp:lastModifiedBy>
  <dcterms:modified xsi:type="dcterms:W3CDTF">2026-08-27T07:23:05Z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eyJoZGlkIjoiMjljOThlNzRlZGFjNjM0YzFkZThkN2NhMDdjM2Q0NTQiLCJ1c2VySWQiOiIyNzU3MzIyNTMifQ==</vt:lpwstr>
  </property>
  <property fmtid="{D5CDD505-2E9C-101B-9397-08002B2CF9AE}" pid="4" name="ICV">
    <vt:lpwstr>09247CAF5B744E0896CF976DF2CE9D6B_12</vt:lpwstr>
  </property>
</Properties>
</file>